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FORMULARZ ZGŁASZANIA UWAG</w:t>
      </w:r>
    </w:p>
    <w:p>
      <w:pPr>
        <w:pStyle w:val="Normal"/>
        <w:jc w:val="center"/>
        <w:rPr/>
      </w:pPr>
      <w:r>
        <w:rPr/>
        <w:t xml:space="preserve">do projektu aktualizacji </w:t>
      </w:r>
      <w:r>
        <w:rPr>
          <w:i/>
          <w:u w:val="single"/>
        </w:rPr>
        <w:t xml:space="preserve">Strategii Rozwoju Gminy Bielawa </w:t>
      </w:r>
      <w:r>
        <w:rPr>
          <w:i/>
          <w:u w:val="single"/>
        </w:rPr>
        <w:t>na lata 2022 -</w:t>
      </w:r>
      <w:r>
        <w:rPr>
          <w:i/>
          <w:u w:val="single"/>
        </w:rPr>
        <w:t xml:space="preserve"> 2030.</w:t>
      </w:r>
    </w:p>
    <w:p>
      <w:pPr>
        <w:pStyle w:val="Normal"/>
        <w:rPr/>
      </w:pPr>
      <w:r>
        <w:rPr/>
      </w:r>
    </w:p>
    <w:tbl>
      <w:tblPr>
        <w:tblStyle w:val="Tabela-Siatka"/>
        <w:tblW w:w="145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2306"/>
        <w:gridCol w:w="3930"/>
        <w:gridCol w:w="4542"/>
        <w:gridCol w:w="3255"/>
      </w:tblGrid>
      <w:tr>
        <w:trPr/>
        <w:tc>
          <w:tcPr>
            <w:tcW w:w="534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L.P</w:t>
            </w:r>
          </w:p>
        </w:tc>
        <w:tc>
          <w:tcPr>
            <w:tcW w:w="2306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Część dokumentu do którego odnosi uwaga (rozdział/punkt/strona)</w:t>
            </w:r>
          </w:p>
        </w:tc>
        <w:tc>
          <w:tcPr>
            <w:tcW w:w="393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Dotychczasowy zapis</w:t>
            </w:r>
          </w:p>
        </w:tc>
        <w:tc>
          <w:tcPr>
            <w:tcW w:w="454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Proponowany zmieniony zapis</w:t>
            </w:r>
          </w:p>
        </w:tc>
        <w:tc>
          <w:tcPr>
            <w:tcW w:w="325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Uzasadnienie uwagi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3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  <w:t xml:space="preserve">                                      </w:t>
      </w:r>
    </w:p>
    <w:p>
      <w:pPr>
        <w:pStyle w:val="Normal"/>
        <w:jc w:val="left"/>
        <w:rPr/>
      </w:pPr>
      <w:r>
        <w:rPr/>
        <w:t xml:space="preserve">                                           </w:t>
      </w:r>
    </w:p>
    <w:p>
      <w:pPr>
        <w:pStyle w:val="Inline-center"/>
        <w:spacing w:before="0" w:after="0"/>
        <w:jc w:val="left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</w:r>
    </w:p>
    <w:p>
      <w:pPr>
        <w:pStyle w:val="Inline-center"/>
        <w:spacing w:before="0" w:after="0"/>
        <w:jc w:val="center"/>
        <w:rPr/>
      </w:pPr>
      <w:r>
        <w:rPr>
          <w:rStyle w:val="Strong"/>
          <w:rFonts w:cs="Arial" w:ascii="Arial" w:hAnsi="Arial"/>
          <w:bCs/>
          <w:sz w:val="14"/>
          <w:szCs w:val="14"/>
        </w:rPr>
        <w:t xml:space="preserve">Szczegółowa klauzula informacyjna dotycząca przetwarzania danych osobowych, dla których administratorem danych jest </w:t>
      </w:r>
      <w:r>
        <w:rPr>
          <w:rStyle w:val="Strong"/>
          <w:rFonts w:eastAsia="Times New Roman" w:cs="Arial" w:ascii="Arial" w:hAnsi="Arial"/>
          <w:b/>
          <w:bCs/>
          <w:color w:val="auto"/>
          <w:sz w:val="14"/>
          <w:szCs w:val="14"/>
          <w:lang w:val="pl-PL" w:eastAsia="zh-CN" w:bidi="ar-SA"/>
        </w:rPr>
        <w:t>Burmistrz</w:t>
      </w:r>
      <w:r>
        <w:rPr>
          <w:rStyle w:val="Strong"/>
          <w:rFonts w:cs="Arial" w:ascii="Arial" w:hAnsi="Arial"/>
          <w:bCs/>
          <w:sz w:val="14"/>
          <w:szCs w:val="14"/>
        </w:rPr>
        <w:t xml:space="preserve"> Miasta </w:t>
      </w:r>
      <w:r>
        <w:rPr>
          <w:rStyle w:val="Strong"/>
          <w:rFonts w:eastAsia="Times New Roman" w:cs="Arial" w:ascii="Arial" w:hAnsi="Arial"/>
          <w:b/>
          <w:bCs/>
          <w:color w:val="auto"/>
          <w:sz w:val="14"/>
          <w:szCs w:val="14"/>
          <w:lang w:val="pl-PL" w:eastAsia="zh-CN" w:bidi="ar-SA"/>
        </w:rPr>
        <w:t>Bielawa</w:t>
      </w:r>
    </w:p>
    <w:p>
      <w:pPr>
        <w:pStyle w:val="Inline-center"/>
        <w:spacing w:before="120" w:after="0"/>
        <w:jc w:val="center"/>
        <w:rPr>
          <w:rStyle w:val="Strong"/>
          <w:rFonts w:ascii="Arial" w:hAnsi="Arial" w:cs="Arial"/>
          <w:sz w:val="14"/>
          <w:szCs w:val="14"/>
        </w:rPr>
      </w:pPr>
      <w:r>
        <w:rPr/>
      </w:r>
    </w:p>
    <w:p>
      <w:pPr>
        <w:pStyle w:val="Inline-center"/>
        <w:spacing w:before="120" w:after="0"/>
        <w:jc w:val="center"/>
        <w:rPr/>
      </w:pPr>
      <w:r>
        <w:rPr>
          <w:rStyle w:val="Strong"/>
          <w:rFonts w:cs="Arial" w:ascii="Arial" w:hAnsi="Arial"/>
          <w:sz w:val="14"/>
          <w:szCs w:val="14"/>
        </w:rPr>
        <w:t>Szanowni Państwo,</w:t>
      </w:r>
    </w:p>
    <w:p>
      <w:pPr>
        <w:pStyle w:val="NormalnyWeb"/>
        <w:spacing w:before="120" w:after="0"/>
        <w:jc w:val="left"/>
        <w:rPr>
          <w:rFonts w:ascii="Arial" w:hAnsi="Arial" w:cs="Arial"/>
          <w:sz w:val="14"/>
          <w:szCs w:val="14"/>
          <w:lang w:eastAsia="en-US"/>
        </w:rPr>
      </w:pPr>
      <w:r>
        <w:rPr>
          <w:rFonts w:cs="Arial" w:ascii="Arial" w:hAnsi="Arial"/>
          <w:sz w:val="14"/>
          <w:szCs w:val="14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>
      <w:pPr>
        <w:pStyle w:val="Normal"/>
        <w:numPr>
          <w:ilvl w:val="0"/>
          <w:numId w:val="1"/>
        </w:numPr>
        <w:spacing w:before="120" w:after="0"/>
        <w:ind w:hanging="284" w:left="284" w:right="0"/>
        <w:jc w:val="left"/>
        <w:rPr/>
      </w:pPr>
      <w:r>
        <w:rPr>
          <w:rFonts w:cs="Arial" w:ascii="Arial" w:hAnsi="Arial"/>
          <w:sz w:val="14"/>
          <w:szCs w:val="14"/>
        </w:rPr>
        <w:t xml:space="preserve">Administratorem danych osobowych jest </w:t>
      </w:r>
      <w:r>
        <w:rPr>
          <w:rFonts w:eastAsia="Times New Roman" w:cs="Arial" w:ascii="Arial" w:hAnsi="Arial"/>
          <w:color w:val="auto"/>
          <w:sz w:val="14"/>
          <w:szCs w:val="14"/>
          <w:lang w:val="pl-PL" w:eastAsia="zh-CN" w:bidi="ar-SA"/>
        </w:rPr>
        <w:t>Burmistrz</w:t>
      </w:r>
      <w:r>
        <w:rPr>
          <w:rFonts w:cs="Arial" w:ascii="Arial" w:hAnsi="Arial"/>
          <w:sz w:val="14"/>
          <w:szCs w:val="14"/>
        </w:rPr>
        <w:t xml:space="preserve"> Miasta </w:t>
      </w:r>
      <w:r>
        <w:rPr>
          <w:rFonts w:eastAsia="Times New Roman" w:cs="Arial" w:ascii="Arial" w:hAnsi="Arial"/>
          <w:color w:val="auto"/>
          <w:sz w:val="14"/>
          <w:szCs w:val="14"/>
          <w:lang w:val="pl-PL" w:eastAsia="zh-CN" w:bidi="ar-SA"/>
        </w:rPr>
        <w:t>Bielawa</w:t>
      </w:r>
      <w:r>
        <w:rPr>
          <w:rFonts w:cs="Arial" w:ascii="Arial" w:hAnsi="Arial"/>
          <w:sz w:val="14"/>
          <w:szCs w:val="14"/>
        </w:rPr>
        <w:t xml:space="preserve"> z siedzibą w </w:t>
      </w:r>
      <w:r>
        <w:rPr>
          <w:rFonts w:eastAsia="Times New Roman" w:cs="Arial" w:ascii="Arial" w:hAnsi="Arial"/>
          <w:color w:val="auto"/>
          <w:sz w:val="14"/>
          <w:szCs w:val="14"/>
          <w:lang w:val="pl-PL" w:eastAsia="zh-CN" w:bidi="ar-SA"/>
        </w:rPr>
        <w:t>Bielawie</w:t>
      </w:r>
      <w:r>
        <w:rPr>
          <w:rFonts w:cs="Arial" w:ascii="Arial" w:hAnsi="Arial"/>
          <w:sz w:val="14"/>
          <w:szCs w:val="14"/>
        </w:rPr>
        <w:t xml:space="preserve"> przy </w:t>
        <w:br/>
      </w:r>
      <w:r>
        <w:rPr>
          <w:rFonts w:eastAsia="Times New Roman" w:cs="Arial" w:ascii="Arial" w:hAnsi="Arial"/>
          <w:color w:val="auto"/>
          <w:sz w:val="14"/>
          <w:szCs w:val="14"/>
          <w:lang w:val="pl-PL" w:eastAsia="zh-CN" w:bidi="ar-SA"/>
        </w:rPr>
        <w:t>Pl. Wolności 1</w:t>
      </w:r>
      <w:r>
        <w:rPr>
          <w:rFonts w:cs="Arial" w:ascii="Arial" w:hAnsi="Arial"/>
          <w:sz w:val="14"/>
          <w:szCs w:val="14"/>
        </w:rPr>
        <w:t xml:space="preserve">, </w:t>
      </w:r>
      <w:r>
        <w:rPr>
          <w:rFonts w:eastAsia="Times New Roman" w:cs="Arial" w:ascii="Arial" w:hAnsi="Arial"/>
          <w:color w:val="auto"/>
          <w:sz w:val="14"/>
          <w:szCs w:val="14"/>
          <w:lang w:val="pl-PL" w:eastAsia="zh-CN" w:bidi="ar-SA"/>
        </w:rPr>
        <w:t>58-260 Bielawa</w:t>
      </w:r>
      <w:r>
        <w:rPr>
          <w:rFonts w:cs="Arial" w:ascii="Arial" w:hAnsi="Arial"/>
          <w:sz w:val="14"/>
          <w:szCs w:val="14"/>
        </w:rPr>
        <w:t xml:space="preserve">, e-mail: </w:t>
      </w:r>
      <w:hyperlink r:id="rId2" w:tgtFrame="_blank">
        <w:r>
          <w:rPr>
            <w:rStyle w:val="Hyperlink"/>
            <w:rFonts w:eastAsia="Times New Roman" w:cs="Arial" w:ascii="Arial" w:hAnsi="Arial"/>
            <w:color w:val="0000FF"/>
            <w:sz w:val="14"/>
            <w:szCs w:val="14"/>
            <w:u w:val="single"/>
            <w:lang w:val="pl-PL" w:eastAsia="zh-CN" w:bidi="ar-SA"/>
          </w:rPr>
          <w:t>u</w:t>
        </w:r>
      </w:hyperlink>
      <w:r>
        <w:rPr>
          <w:rStyle w:val="Hyperlink"/>
          <w:rFonts w:eastAsia="Times New Roman" w:cs="Arial" w:ascii="Arial" w:hAnsi="Arial"/>
          <w:color w:val="0000FF"/>
          <w:sz w:val="14"/>
          <w:szCs w:val="14"/>
          <w:u w:val="single"/>
          <w:lang w:val="pl-PL" w:eastAsia="zh-CN" w:bidi="ar-SA"/>
        </w:rPr>
        <w:t>m@um.bielawa.pl</w:t>
      </w:r>
      <w:r>
        <w:rPr>
          <w:rFonts w:cs="Arial" w:ascii="Arial" w:hAnsi="Arial"/>
          <w:sz w:val="14"/>
          <w:szCs w:val="14"/>
        </w:rPr>
        <w:t>.</w:t>
      </w:r>
    </w:p>
    <w:p>
      <w:pPr>
        <w:pStyle w:val="Normal"/>
        <w:numPr>
          <w:ilvl w:val="0"/>
          <w:numId w:val="1"/>
        </w:numPr>
        <w:spacing w:before="120" w:after="0"/>
        <w:ind w:hanging="360" w:left="360" w:right="0"/>
        <w:jc w:val="left"/>
        <w:rPr/>
      </w:pPr>
      <w:r>
        <w:rPr>
          <w:rFonts w:cs="Arial" w:ascii="Arial" w:hAnsi="Arial"/>
          <w:sz w:val="14"/>
          <w:szCs w:val="14"/>
        </w:rPr>
        <w:t xml:space="preserve">Administrator wyznaczył inspektora ochrony danych, z którym może się Pani / Pan skontaktować poprzez e-mail </w:t>
      </w:r>
      <w:r>
        <w:rPr>
          <w:rStyle w:val="Hyperlink"/>
          <w:rFonts w:eastAsia="Times New Roman" w:cs="Arial" w:ascii="Arial" w:hAnsi="Arial"/>
          <w:color w:val="0000FF"/>
          <w:sz w:val="14"/>
          <w:szCs w:val="14"/>
          <w:u w:val="single"/>
          <w:lang w:val="pl-PL" w:eastAsia="zh-CN" w:bidi="ar-SA"/>
        </w:rPr>
        <w:t>lkudra@um.bielawa.pl</w:t>
      </w:r>
      <w:r>
        <w:rPr>
          <w:rFonts w:cs="Arial" w:ascii="Arial" w:hAnsi="Arial"/>
          <w:sz w:val="14"/>
          <w:szCs w:val="14"/>
        </w:rPr>
        <w:t xml:space="preserve"> Z inspektorem ochrony danych można się kontaktować we wszystkich sprawach dotyczących przetwarzania danych osobowych przez Urząd Miasta </w:t>
      </w:r>
      <w:r>
        <w:rPr>
          <w:rFonts w:eastAsia="Times New Roman" w:cs="Arial" w:ascii="Arial" w:hAnsi="Arial"/>
          <w:color w:val="auto"/>
          <w:sz w:val="14"/>
          <w:szCs w:val="14"/>
          <w:lang w:val="pl-PL" w:eastAsia="zh-CN" w:bidi="ar-SA"/>
        </w:rPr>
        <w:t>Bielawa</w:t>
      </w:r>
      <w:r>
        <w:rPr>
          <w:rFonts w:cs="Arial" w:ascii="Arial" w:hAnsi="Arial"/>
          <w:sz w:val="14"/>
          <w:szCs w:val="14"/>
        </w:rPr>
        <w:t xml:space="preserve"> oraz korzystania z praw związanych z przetwarzaniem danych.</w:t>
      </w:r>
    </w:p>
    <w:p>
      <w:pPr>
        <w:pStyle w:val="Normal"/>
        <w:numPr>
          <w:ilvl w:val="0"/>
          <w:numId w:val="0"/>
        </w:numPr>
        <w:shd w:fill="FFFFFF" w:val="clear"/>
        <w:spacing w:before="120" w:after="0"/>
        <w:ind w:hanging="0" w:left="644" w:right="0"/>
        <w:jc w:val="left"/>
        <w:rPr>
          <w:sz w:val="14"/>
          <w:szCs w:val="14"/>
        </w:rPr>
      </w:pPr>
      <w:r>
        <w:rPr>
          <w:rFonts w:cs="Arial" w:ascii="Arial" w:hAnsi="Arial"/>
          <w:sz w:val="14"/>
          <w:szCs w:val="14"/>
        </w:rPr>
        <w:t xml:space="preserve">Podanie danych osobowych jest warunkiem koniecznym do realizacji sprawy w Urzędzie Miejskim w </w:t>
      </w:r>
      <w:r>
        <w:rPr>
          <w:rFonts w:eastAsia="Times New Roman" w:cs="Arial" w:ascii="Arial" w:hAnsi="Arial"/>
          <w:color w:val="auto"/>
          <w:sz w:val="14"/>
          <w:szCs w:val="14"/>
          <w:lang w:val="pl-PL" w:eastAsia="zh-CN" w:bidi="ar-SA"/>
        </w:rPr>
        <w:t>Bielawie.</w:t>
      </w:r>
      <w:r>
        <w:rPr>
          <w:rFonts w:cs="Arial" w:ascii="Arial" w:hAnsi="Arial"/>
          <w:sz w:val="14"/>
          <w:szCs w:val="14"/>
        </w:rPr>
        <w:t xml:space="preserve"> Ogólną podstawę do przetwarzania danych stanowi art. 6 ust. 1 lit. c ogólnego rozporządzenia. Dodatkowo </w:t>
        <w:br/>
        <w:t>w przypadku przekazania z inicjatywy wnioskodawcy danych w postaci numeru telefonu lub adresu e-mail będą one przetwarzane na podstawie art. 6 ust. 1 lit.a ogólnego rozporządzenia, czyli zgody osoby, której dane dotyczą.</w:t>
      </w:r>
    </w:p>
    <w:p>
      <w:pPr>
        <w:pStyle w:val="Normal"/>
        <w:shd w:fill="FFFFFF" w:val="clear"/>
        <w:ind w:right="0"/>
        <w:jc w:val="left"/>
        <w:rPr>
          <w:sz w:val="14"/>
          <w:szCs w:val="14"/>
        </w:rPr>
      </w:pPr>
      <w:r>
        <w:rPr>
          <w:rFonts w:eastAsia="Arial" w:cs="Arial" w:ascii="Arial" w:hAnsi="Arial"/>
          <w:sz w:val="14"/>
          <w:szCs w:val="14"/>
        </w:rPr>
        <w:t xml:space="preserve">      </w:t>
      </w:r>
      <w:r>
        <w:rPr>
          <w:rFonts w:cs="Arial" w:ascii="Arial" w:hAnsi="Arial"/>
          <w:sz w:val="14"/>
          <w:szCs w:val="14"/>
        </w:rPr>
        <w:t>Szczegółowe cele przetwarzania danych zostały wskazane w następujących przepisach prawa:</w:t>
      </w:r>
    </w:p>
    <w:p>
      <w:pPr>
        <w:pStyle w:val="Normal"/>
        <w:numPr>
          <w:ilvl w:val="0"/>
          <w:numId w:val="2"/>
        </w:numPr>
        <w:shd w:fill="FFFFFF" w:val="clear"/>
        <w:ind w:hanging="360" w:left="851" w:right="0"/>
        <w:jc w:val="lef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ustawie z dnia 8 marca 1990 r.  o samorządzie gminnym;</w:t>
      </w:r>
    </w:p>
    <w:p>
      <w:pPr>
        <w:pStyle w:val="Normal"/>
        <w:numPr>
          <w:ilvl w:val="0"/>
          <w:numId w:val="2"/>
        </w:numPr>
        <w:shd w:fill="FFFFFF" w:val="clear"/>
        <w:ind w:hanging="360" w:left="851" w:right="0"/>
        <w:jc w:val="lef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ustawie z dnia 9 października 2015 r. o rewitalizacji;</w:t>
      </w:r>
    </w:p>
    <w:p>
      <w:pPr>
        <w:pStyle w:val="Normal"/>
        <w:numPr>
          <w:ilvl w:val="0"/>
          <w:numId w:val="2"/>
        </w:numPr>
        <w:shd w:fill="FFFFFF" w:val="clear"/>
        <w:ind w:hanging="360" w:left="851" w:right="0"/>
        <w:jc w:val="lef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ustawie z dnia 14 czerwca 1960 r. Kodeks postępowania administracyjnego;</w:t>
      </w:r>
    </w:p>
    <w:p>
      <w:pPr>
        <w:pStyle w:val="Normal"/>
        <w:numPr>
          <w:ilvl w:val="0"/>
          <w:numId w:val="2"/>
        </w:numPr>
        <w:shd w:fill="FFFFFF" w:val="clear"/>
        <w:ind w:hanging="360" w:left="851" w:right="0"/>
        <w:jc w:val="left"/>
        <w:rPr>
          <w:sz w:val="14"/>
          <w:szCs w:val="14"/>
        </w:rPr>
      </w:pPr>
      <w:r>
        <w:rPr>
          <w:rFonts w:cs="Arial" w:ascii="Arial" w:hAnsi="Arial"/>
          <w:sz w:val="14"/>
          <w:szCs w:val="14"/>
        </w:rPr>
        <w:t xml:space="preserve">uchwale </w:t>
      </w:r>
      <w:r>
        <w:rPr>
          <w:rFonts w:eastAsia="Times New Roman" w:cs="Arial" w:ascii="Arial" w:hAnsi="Arial"/>
          <w:color w:val="auto"/>
          <w:sz w:val="14"/>
          <w:szCs w:val="14"/>
          <w:lang w:val="pl-PL" w:eastAsia="zh-CN" w:bidi="ar-SA"/>
        </w:rPr>
        <w:t>LXIV/555/2022</w:t>
      </w:r>
      <w:r>
        <w:rPr>
          <w:rFonts w:cs="Arial" w:ascii="Arial" w:hAnsi="Arial"/>
          <w:sz w:val="14"/>
          <w:szCs w:val="14"/>
        </w:rPr>
        <w:t xml:space="preserve"> Rady Miejskiej Bielawy z dnia </w:t>
      </w:r>
      <w:r>
        <w:rPr>
          <w:rFonts w:eastAsia="Times New Roman" w:cs="Arial" w:ascii="Arial" w:hAnsi="Arial"/>
          <w:color w:val="auto"/>
          <w:sz w:val="14"/>
          <w:szCs w:val="14"/>
          <w:lang w:val="pl-PL" w:eastAsia="zh-CN" w:bidi="ar-SA"/>
        </w:rPr>
        <w:t>26.10.2022</w:t>
      </w:r>
      <w:r>
        <w:rPr>
          <w:rFonts w:cs="Arial" w:ascii="Arial" w:hAnsi="Arial"/>
          <w:sz w:val="14"/>
          <w:szCs w:val="14"/>
        </w:rPr>
        <w:t xml:space="preserve"> rw sprawie wyznaczenia obszaru zdegradowanego i obszaru rewitalizacji  </w:t>
      </w:r>
      <w:r>
        <w:rPr>
          <w:rFonts w:eastAsia="Times New Roman" w:cs="Arial" w:ascii="Arial" w:hAnsi="Arial"/>
          <w:color w:val="auto"/>
          <w:sz w:val="14"/>
          <w:szCs w:val="14"/>
          <w:lang w:val="pl-PL" w:eastAsia="zh-CN" w:bidi="ar-SA"/>
        </w:rPr>
        <w:t>M</w:t>
      </w:r>
      <w:r>
        <w:rPr>
          <w:rFonts w:cs="Arial" w:ascii="Arial" w:hAnsi="Arial"/>
          <w:sz w:val="14"/>
          <w:szCs w:val="14"/>
        </w:rPr>
        <w:t>iasta Bielawa.</w:t>
      </w:r>
    </w:p>
    <w:p>
      <w:pPr>
        <w:pStyle w:val="Normal"/>
        <w:ind w:left="284" w:right="0"/>
        <w:jc w:val="left"/>
        <w:rPr>
          <w:sz w:val="14"/>
          <w:szCs w:val="14"/>
        </w:rPr>
      </w:pPr>
      <w:r>
        <w:rPr>
          <w:rFonts w:eastAsia="Arial" w:cs="Arial" w:ascii="Arial" w:hAnsi="Arial"/>
          <w:sz w:val="14"/>
          <w:szCs w:val="14"/>
        </w:rPr>
        <w:t xml:space="preserve"> </w:t>
      </w:r>
      <w:r>
        <w:rPr>
          <w:rFonts w:cs="Arial" w:ascii="Arial" w:hAnsi="Arial"/>
          <w:sz w:val="14"/>
          <w:szCs w:val="14"/>
        </w:rPr>
        <w:t>Pani/Pana dane będą przetwarzane w celu wydania zaświadczenia dotyczącego położenia nieruchomości względem obszaru rewitalizacji</w:t>
      </w:r>
    </w:p>
    <w:p>
      <w:pPr>
        <w:pStyle w:val="Normal"/>
        <w:numPr>
          <w:ilvl w:val="0"/>
          <w:numId w:val="1"/>
        </w:numPr>
        <w:spacing w:before="120" w:after="0"/>
        <w:ind w:hanging="284" w:left="360" w:right="0"/>
        <w:jc w:val="lef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Dane osobowe mogą być udostępniane innym podmiotom, uprawnionym do ich otrzymania na podstawie obowiązujących przepisów prawa, tj. organom administracji publicznej lub podmiotom działającym na zlecenie organów administracji publicznej w zakresie obowiązujących przepisów a ponadto odbiorcom danych w rozumieniu przepisów o ochronie danych osobowych, tj. podmiotom świadczącym usługi pocztowe,  usługi informatyczne. Dane osobowe nie będą przekazywane do państw trzecich, na podstawie szczególnych regulacji prawnych, w tym umów międzynarodowych.</w:t>
      </w:r>
    </w:p>
    <w:p>
      <w:pPr>
        <w:pStyle w:val="Normal"/>
        <w:numPr>
          <w:ilvl w:val="0"/>
          <w:numId w:val="1"/>
        </w:numPr>
        <w:spacing w:before="120" w:after="0"/>
        <w:ind w:hanging="284" w:left="360" w:right="0"/>
        <w:jc w:val="lef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 xml:space="preserve">Dane osobowe będą przetwarzane, w tym przechowywane prze okres 2 lat, licząc od pierwszego stycznia roku następującego po roku, w którym sprawa została zakończona, a następnie, zgodnie </w:t>
        <w:br/>
        <w:t>z przepisami ustawy z dnia 14 lipca 1983 r. o narodowym zasobie archiwalnym i archiwach, przez okres 5 lat, zgodnie z kategorią archiwalną BE-5, a w przypadku zmiany kategorii archiwalnej dokumentacji przez okres zgodny ze zmienioną kategorią archiwalną dokumentacji.</w:t>
      </w:r>
    </w:p>
    <w:p>
      <w:pPr>
        <w:pStyle w:val="Normal"/>
        <w:numPr>
          <w:ilvl w:val="0"/>
          <w:numId w:val="1"/>
        </w:numPr>
        <w:spacing w:before="120" w:after="0"/>
        <w:ind w:hanging="284" w:left="360" w:right="0"/>
        <w:jc w:val="lef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W związku z przetwarzaniem danych osobowych posiada Pani/Pan prawo do:</w:t>
      </w:r>
    </w:p>
    <w:p>
      <w:pPr>
        <w:pStyle w:val="ListParagraph"/>
        <w:widowControl/>
        <w:numPr>
          <w:ilvl w:val="0"/>
          <w:numId w:val="3"/>
        </w:numPr>
        <w:autoSpaceDE w:val="true"/>
        <w:spacing w:before="120" w:after="0"/>
        <w:ind w:hanging="425" w:left="709" w:right="0"/>
        <w:contextualSpacing/>
        <w:jc w:val="left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dostępu do treści swoich danych, na podstawie art. 15 ogólnego rozporządzenia;</w:t>
      </w:r>
    </w:p>
    <w:p>
      <w:pPr>
        <w:pStyle w:val="ListParagraph"/>
        <w:widowControl/>
        <w:numPr>
          <w:ilvl w:val="0"/>
          <w:numId w:val="3"/>
        </w:numPr>
        <w:autoSpaceDE w:val="true"/>
        <w:spacing w:before="120" w:after="0"/>
        <w:ind w:hanging="425" w:left="709" w:right="0"/>
        <w:contextualSpacing/>
        <w:jc w:val="left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sprostowania danych, na podstawie art. 16 ogólnego rozporządzenia;</w:t>
      </w:r>
    </w:p>
    <w:p>
      <w:pPr>
        <w:pStyle w:val="ListParagraph"/>
        <w:widowControl/>
        <w:numPr>
          <w:ilvl w:val="0"/>
          <w:numId w:val="3"/>
        </w:numPr>
        <w:autoSpaceDE w:val="true"/>
        <w:spacing w:before="120" w:after="0"/>
        <w:ind w:hanging="425" w:left="709" w:right="0"/>
        <w:contextualSpacing/>
        <w:jc w:val="left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ograniczenia przetwarzania, na podstawie art. 18 ogólnego rozporządzenia;</w:t>
      </w:r>
    </w:p>
    <w:p>
      <w:pPr>
        <w:pStyle w:val="ListParagraph"/>
        <w:spacing w:before="120" w:after="0"/>
        <w:ind w:left="284" w:right="0"/>
        <w:jc w:val="left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ab/>
        <w:t>Dodatkowo w przypadku przetwarzania danych na podstawie zgody przysługuje Pani/Panu prawo do:</w:t>
      </w:r>
    </w:p>
    <w:p>
      <w:pPr>
        <w:pStyle w:val="ListParagraph"/>
        <w:widowControl/>
        <w:numPr>
          <w:ilvl w:val="0"/>
          <w:numId w:val="4"/>
        </w:numPr>
        <w:autoSpaceDE w:val="true"/>
        <w:spacing w:before="120" w:after="0"/>
        <w:ind w:hanging="425" w:left="709" w:right="0"/>
        <w:jc w:val="left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usunięcia swoich danych, na podstawie art. 17 ogólnego rozporządzenia;</w:t>
      </w:r>
    </w:p>
    <w:p>
      <w:pPr>
        <w:pStyle w:val="ListParagraph"/>
        <w:widowControl/>
        <w:numPr>
          <w:ilvl w:val="0"/>
          <w:numId w:val="4"/>
        </w:numPr>
        <w:autoSpaceDE w:val="true"/>
        <w:spacing w:before="0" w:after="0"/>
        <w:ind w:hanging="425" w:left="709" w:right="0"/>
        <w:jc w:val="left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cofnięcia zgody, w dowolnym momencie, w formie, w jakiej została ona wyrażona.</w:t>
      </w:r>
    </w:p>
    <w:p>
      <w:pPr>
        <w:pStyle w:val="Normal"/>
        <w:spacing w:before="120" w:after="0"/>
        <w:ind w:left="284" w:right="0"/>
        <w:jc w:val="lef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Prawa te są wykonywane przez Panią/Pana również względem tych osób, w stosunku do których sprawowana jest opieka.</w:t>
      </w:r>
    </w:p>
    <w:p>
      <w:pPr>
        <w:pStyle w:val="Normal"/>
        <w:numPr>
          <w:ilvl w:val="0"/>
          <w:numId w:val="1"/>
        </w:numPr>
        <w:spacing w:before="120" w:after="0"/>
        <w:ind w:hanging="284" w:left="284" w:right="0"/>
        <w:jc w:val="lef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Ma Pani/Pan prawo wniesienia skargi do organu nadzorczego – Prezesa Urzędu Ochrony Danych Osobowych, gdy uzna Pani/Pan, iż przetwarzanie danych osobowych narusza przepisy o ochronie danych osobowych.</w:t>
      </w:r>
    </w:p>
    <w:p>
      <w:pPr>
        <w:pStyle w:val="Normal"/>
        <w:numPr>
          <w:ilvl w:val="0"/>
          <w:numId w:val="1"/>
        </w:numPr>
        <w:spacing w:before="120" w:after="0"/>
        <w:ind w:hanging="284" w:left="360" w:right="0"/>
        <w:jc w:val="lef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Gdy podanie danych osobowych wynika z przepisów prawa, jest Pani/Pan zobowiązana(y) do ich podania. Konsekwencją niepodania danych osobowych będzie brak możliwości wydania zaświadczenia .</w:t>
      </w:r>
    </w:p>
    <w:p>
      <w:pPr>
        <w:pStyle w:val="Normal"/>
        <w:numPr>
          <w:ilvl w:val="0"/>
          <w:numId w:val="1"/>
        </w:numPr>
        <w:spacing w:before="120" w:after="0"/>
        <w:ind w:hanging="284" w:left="360" w:right="0"/>
        <w:jc w:val="lef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Dane nie będą przetwarzane w sposób zautomatyzowany, w tym również w formie profilowania.</w:t>
      </w:r>
    </w:p>
    <w:sectPr>
      <w:type w:val="nextPage"/>
      <w:pgSz w:orient="landscape" w:w="16838" w:h="11906"/>
      <w:pgMar w:left="1134" w:right="1134" w:gutter="0" w:header="0" w:top="56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sz w:val="20"/>
        <w:szCs w:val="20"/>
        <w:rFonts w:ascii="Arial" w:hAnsi="Arial" w:cs="Arial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1772"/>
        </w:tabs>
        <w:ind w:left="1772" w:hanging="360"/>
      </w:pPr>
      <w:rPr>
        <w:rFonts w:ascii="Times New Roman" w:hAnsi="Times New Roman" w:eastAsia="Times New Roman" w:cs="Times New Roman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>
    <w:name w:val="WW8Num3z0"/>
    <w:qFormat/>
    <w:rPr>
      <w:rFonts w:ascii="Arial" w:hAnsi="Arial" w:cs="Arial"/>
      <w:sz w:val="20"/>
      <w:szCs w:val="20"/>
    </w:rPr>
  </w:style>
  <w:style w:type="character" w:styleId="Strong">
    <w:name w:val="Strong"/>
    <w:qFormat/>
    <w:rPr>
      <w:rFonts w:ascii="Times New Roman" w:hAnsi="Times New Roman" w:cs="Times New Roman"/>
      <w:b/>
      <w:bCs w:val="false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line-center">
    <w:name w:val="inline-center"/>
    <w:basedOn w:val="Normal"/>
    <w:qFormat/>
    <w:pPr>
      <w:spacing w:before="100" w:after="100"/>
    </w:pPr>
    <w:rPr/>
  </w:style>
  <w:style w:type="paragraph" w:styleId="NormalnyWeb">
    <w:name w:val="Normalny (Web)"/>
    <w:basedOn w:val="Normal"/>
    <w:qFormat/>
    <w:pPr>
      <w:spacing w:before="100" w:after="100"/>
    </w:pPr>
    <w:rPr/>
  </w:style>
  <w:style w:type="paragraph" w:styleId="ListParagraph">
    <w:name w:val="List Paragraph"/>
    <w:basedOn w:val="Normal"/>
    <w:qFormat/>
    <w:pPr>
      <w:widowControl w:val="false"/>
      <w:autoSpaceDE w:val="false"/>
      <w:spacing w:before="7" w:after="0"/>
      <w:ind w:hanging="271" w:left="649" w:right="0"/>
    </w:pPr>
    <w:rPr>
      <w:rFonts w:ascii="Arial" w:hAnsi="Arial" w:cs="Arial"/>
      <w:sz w:val="22"/>
      <w:szCs w:val="22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c19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ckm@uml.lodz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LibreOffice/7.6.4.1$Windows_X86_64 LibreOffice_project/e19e193f88cd6c0525a17fb7a176ed8e6a3e2aa1</Application>
  <AppVersion>15.0000</AppVersion>
  <Pages>2</Pages>
  <Words>594</Words>
  <Characters>3789</Characters>
  <CharactersWithSpaces>4435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2021-02-23T17:19:00Z</dcterms:created>
  <dc:creator>Przemek</dc:creator>
  <dc:description/>
  <dc:language>pl-PL</dc:language>
  <cp:lastModifiedBy/>
  <dcterms:modified xsi:type="dcterms:W3CDTF">2024-08-14T13:35:27Z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