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jpeg" ContentType="image/jpe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retekstu"/>
        <w:jc w:val="right"/>
        <w:rPr/>
      </w:pPr>
      <w:r>
        <w:rPr/>
        <w:t>Załącznik nr 3</w:t>
      </w:r>
    </w:p>
    <w:p>
      <w:pPr>
        <w:pStyle w:val="Normal"/>
        <w:widowControl/>
        <w:bidi w:val="0"/>
        <w:spacing w:lineRule="auto" w:line="259" w:before="0" w:after="40"/>
        <w:jc w:val="right"/>
        <w:rPr/>
      </w:pPr>
      <w:r>
        <w:rPr/>
        <w:drawing>
          <wp:inline distT="0" distB="0" distL="0" distR="0">
            <wp:extent cx="6103620" cy="770255"/>
            <wp:effectExtent l="0" t="0" r="0" b="0"/>
            <wp:docPr id="1" name="Obraz 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az 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3620" cy="7702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Normal"/>
        <w:widowControl/>
        <w:pBdr>
          <w:bottom w:val="single" w:sz="6" w:space="1" w:color="000000"/>
        </w:pBdr>
        <w:tabs>
          <w:tab w:val="clear" w:pos="708"/>
          <w:tab w:val="center" w:pos="4536" w:leader="none"/>
          <w:tab w:val="right" w:pos="9072" w:leader="none"/>
        </w:tabs>
        <w:bidi w:val="0"/>
        <w:spacing w:lineRule="auto" w:line="259" w:before="120" w:after="240"/>
        <w:jc w:val="center"/>
        <w:rPr>
          <w:rFonts w:eastAsia="MS Mincho" w:cs="Calibri"/>
          <w:bCs/>
          <w:iCs/>
          <w:sz w:val="28"/>
          <w:szCs w:val="28"/>
          <w:lang w:eastAsia="pl-PL"/>
        </w:rPr>
      </w:pPr>
      <w:r>
        <w:rPr>
          <w:rFonts w:eastAsia="MS Mincho" w:cs="Calibri" w:ascii="Calibri Light" w:hAnsi="Calibri Light"/>
          <w:b/>
          <w:bCs/>
          <w:iCs/>
          <w:sz w:val="28"/>
          <w:szCs w:val="28"/>
          <w:lang w:eastAsia="pl-PL"/>
        </w:rPr>
        <w:t>Dostępny samorząd – granty</w:t>
      </w:r>
    </w:p>
    <w:tbl>
      <w:tblPr>
        <w:tblW w:w="10713" w:type="dxa"/>
        <w:jc w:val="left"/>
        <w:tblInd w:w="-109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10713"/>
      </w:tblGrid>
      <w:tr>
        <w:trPr>
          <w:trHeight w:val="930" w:hRule="atLeast"/>
        </w:trPr>
        <w:tc>
          <w:tcPr>
            <w:tcW w:w="10713" w:type="dxa"/>
            <w:tcBorders>
              <w:top w:val="thickThinSmallGap" w:sz="2" w:space="0" w:color="B2B2B2"/>
              <w:left w:val="thickThinSmallGap" w:sz="2" w:space="0" w:color="B2B2B2"/>
              <w:bottom w:val="thickThinSmallGap" w:sz="2" w:space="0" w:color="B2B2B2"/>
              <w:right w:val="thickThinSmallGap" w:sz="2" w:space="0" w:color="B2B2B2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Calibri" w:hAnsi="Calibri" w:eastAsia="Times New Roman" w:cs="Calibri"/>
                <w:b/>
                <w:b/>
                <w:bCs/>
                <w:color w:val="000000"/>
                <w:sz w:val="22"/>
                <w:szCs w:val="22"/>
                <w:lang w:eastAsia="pl-PL"/>
              </w:rPr>
            </w:pPr>
            <w:r>
              <w:rPr>
                <w:rFonts w:eastAsia="Times New Roman" w:cs="Calibri" w:ascii="Calibri" w:hAnsi="Calibri"/>
                <w:b/>
                <w:bCs/>
                <w:color w:val="000000"/>
                <w:kern w:val="0"/>
                <w:sz w:val="22"/>
                <w:szCs w:val="22"/>
                <w:u w:val="none"/>
                <w:lang w:val="pl-PL" w:eastAsia="pl-PL" w:bidi="ar-SA"/>
              </w:rPr>
              <w:t>OPIS PRZEDMIOTU ZAMÓWIENIA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Calibri" w:hAnsi="Calibri" w:eastAsia="Times New Roman" w:cs="Calibri"/>
                <w:b/>
                <w:b/>
                <w:bCs/>
                <w:color w:val="000000"/>
                <w:sz w:val="22"/>
                <w:szCs w:val="22"/>
                <w:lang w:eastAsia="pl-PL"/>
              </w:rPr>
            </w:pPr>
            <w:r>
              <w:rPr>
                <w:rFonts w:eastAsia="Times New Roman" w:cs="Calibri" w:ascii="Calibri" w:hAnsi="Calibri"/>
                <w:b/>
                <w:bCs/>
                <w:color w:val="000000"/>
                <w:kern w:val="0"/>
                <w:sz w:val="22"/>
                <w:szCs w:val="22"/>
                <w:u w:val="none"/>
                <w:lang w:val="pl-PL" w:eastAsia="pl-PL" w:bidi="ar-SA"/>
              </w:rPr>
              <w:t>Nazwa przedsięwzięcia grantowego: „Dostępna Gmina – Urząd Miejski w Bielawie przyjazny osobom o  szczególnych potrzebach”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Calibri" w:hAnsi="Calibri" w:eastAsia="Times New Roman" w:cs="Calibri"/>
                <w:b/>
                <w:b/>
                <w:bCs/>
                <w:color w:val="000000"/>
                <w:sz w:val="22"/>
                <w:szCs w:val="22"/>
                <w:lang w:eastAsia="pl-PL"/>
              </w:rPr>
            </w:pPr>
            <w:r>
              <w:rPr>
                <w:rFonts w:eastAsia="Times New Roman" w:cs="Calibri" w:ascii="Calibri" w:hAnsi="Calibri"/>
                <w:b/>
                <w:bCs/>
                <w:color w:val="000000"/>
                <w:sz w:val="22"/>
                <w:szCs w:val="22"/>
                <w:lang w:eastAsia="pl-PL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Calibri" w:hAnsi="Calibri" w:eastAsia="Times New Roman" w:cs="Calibri"/>
                <w:b/>
                <w:b/>
                <w:bCs/>
                <w:color w:val="000000"/>
                <w:kern w:val="0"/>
                <w:sz w:val="22"/>
                <w:szCs w:val="22"/>
                <w:u w:val="none"/>
                <w:lang w:val="pl-PL" w:eastAsia="pl-PL" w:bidi="ar-SA"/>
              </w:rPr>
            </w:pPr>
            <w:r>
              <w:rPr>
                <w:rFonts w:eastAsia="Times New Roman" w:cs="Calibri" w:ascii="Calibri" w:hAnsi="Calibri"/>
                <w:b/>
                <w:bCs/>
                <w:color w:val="000000"/>
                <w:kern w:val="0"/>
                <w:sz w:val="22"/>
                <w:szCs w:val="22"/>
                <w:u w:val="none"/>
                <w:lang w:val="pl-PL" w:eastAsia="pl-PL" w:bidi="ar-SA"/>
              </w:rPr>
              <w:t>Dostawa, montaż oraz dostosowanie punktów obsługi klienta w obiektach Urzędu Miejskiego w Bielawie przy pl. Wolności 1 oraz Piastowskiej 1, do potrzeb osób niepełnosprawnych  z niedosłuchem poprzez montaż pętli indukcyjnych</w:t>
            </w:r>
          </w:p>
        </w:tc>
      </w:tr>
      <w:tr>
        <w:trPr>
          <w:trHeight w:val="675" w:hRule="atLeast"/>
        </w:trPr>
        <w:tc>
          <w:tcPr>
            <w:tcW w:w="10713" w:type="dxa"/>
            <w:tcBorders>
              <w:left w:val="thickThinSmallGap" w:sz="2" w:space="0" w:color="B2B2B2"/>
              <w:bottom w:val="thickThinSmallGap" w:sz="2" w:space="0" w:color="B2B2B2"/>
              <w:right w:val="thickThinSmallGap" w:sz="2" w:space="0" w:color="B2B2B2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Calibri"/>
                <w:b/>
                <w:b/>
                <w:bCs/>
                <w:color w:val="000000"/>
                <w:sz w:val="22"/>
                <w:szCs w:val="22"/>
                <w:lang w:eastAsia="pl-PL"/>
              </w:rPr>
            </w:pPr>
            <w:r>
              <w:rPr>
                <w:rFonts w:eastAsia="Times New Roman" w:cs="Calibri"/>
                <w:b/>
                <w:bCs/>
                <w:color w:val="000000"/>
                <w:sz w:val="22"/>
                <w:szCs w:val="22"/>
                <w:lang w:eastAsia="pl-PL"/>
              </w:rPr>
              <w:t>P</w:t>
            </w:r>
            <w:r>
              <w:rPr>
                <w:rFonts w:eastAsia="Times New Roman" w:cs="Calibri"/>
                <w:b/>
                <w:bCs/>
                <w:color w:val="000000"/>
                <w:kern w:val="0"/>
                <w:sz w:val="22"/>
                <w:szCs w:val="22"/>
                <w:lang w:val="pl-PL" w:eastAsia="pl-PL" w:bidi="ar-SA"/>
              </w:rPr>
              <w:t xml:space="preserve">ARAMETRY PĘTLI INDUKCYJNEJ DLA OSÓB NIEDOSŁYSZĄCYCH </w:t>
              <w:br/>
            </w:r>
            <w:r>
              <w:rPr>
                <w:rFonts w:eastAsia="Times New Roman" w:cs="Calibri"/>
                <w:b w:val="false"/>
                <w:bCs w:val="false"/>
                <w:color w:val="000000"/>
                <w:kern w:val="0"/>
                <w:sz w:val="18"/>
                <w:szCs w:val="18"/>
                <w:lang w:val="pl-PL" w:eastAsia="pl-PL" w:bidi="ar-SA"/>
              </w:rPr>
              <w:t>Sprzęt powinien spełniać normy PN-EN 60118-4 dotyczącej instalacji i działania pętli indukcyjnych.</w:t>
            </w:r>
          </w:p>
        </w:tc>
      </w:tr>
      <w:tr>
        <w:trPr>
          <w:trHeight w:val="84" w:hRule="atLeast"/>
        </w:trPr>
        <w:tc>
          <w:tcPr>
            <w:tcW w:w="10713" w:type="dxa"/>
            <w:tcBorders/>
          </w:tcPr>
          <w:p>
            <w:pPr>
              <w:pStyle w:val="Default"/>
              <w:widowControl w:val="false"/>
              <w:tabs>
                <w:tab w:val="clear" w:pos="708"/>
              </w:tabs>
              <w:rPr/>
            </w:pPr>
            <w:r>
              <w:rPr/>
              <w:t xml:space="preserve"> </w:t>
            </w:r>
            <w:r>
              <w:rPr>
                <w:b/>
                <w:sz w:val="18"/>
              </w:rPr>
              <w:t xml:space="preserve"> </w:t>
            </w:r>
            <w:r>
              <w:rPr>
                <w:b/>
                <w:sz w:val="18"/>
              </w:rPr>
              <w:t>TYP URZĄDZENIA:</w:t>
            </w:r>
          </w:p>
        </w:tc>
      </w:tr>
      <w:tr>
        <w:trPr>
          <w:trHeight w:val="171" w:hRule="atLeast"/>
        </w:trPr>
        <w:tc>
          <w:tcPr>
            <w:tcW w:w="10713" w:type="dxa"/>
            <w:tcBorders/>
          </w:tcPr>
          <w:p>
            <w:pPr>
              <w:pStyle w:val="Default"/>
              <w:widowControl w:val="false"/>
              <w:tabs>
                <w:tab w:val="clear" w:pos="708"/>
              </w:tabs>
              <w:rPr>
                <w:b w:val="false"/>
                <w:b w:val="false"/>
                <w:bCs w:val="false"/>
                <w:sz w:val="18"/>
                <w:szCs w:val="18"/>
              </w:rPr>
            </w:pPr>
            <w:r>
              <w:rPr>
                <w:rFonts w:eastAsia="Calibri" w:cs="Arial"/>
                <w:b w:val="false"/>
                <w:bCs w:val="false"/>
                <w:color w:val="000000"/>
                <w:kern w:val="0"/>
                <w:sz w:val="18"/>
                <w:szCs w:val="18"/>
                <w:lang w:val="pl-PL" w:eastAsia="en-US" w:bidi="ar-SA"/>
              </w:rPr>
              <w:t>Recepcyjna pętla indukcyjna dla osób słabosłyszących</w:t>
            </w:r>
          </w:p>
          <w:p>
            <w:pPr>
              <w:pStyle w:val="Default"/>
              <w:widowControl w:val="false"/>
              <w:tabs>
                <w:tab w:val="clear" w:pos="708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</w:tr>
      <w:tr>
        <w:trPr>
          <w:trHeight w:val="84" w:hRule="atLeast"/>
        </w:trPr>
        <w:tc>
          <w:tcPr>
            <w:tcW w:w="10713" w:type="dxa"/>
            <w:tcBorders/>
          </w:tcPr>
          <w:p>
            <w:pPr>
              <w:pStyle w:val="Default"/>
              <w:widowControl w:val="false"/>
              <w:tabs>
                <w:tab w:val="clear" w:pos="708"/>
              </w:tabs>
              <w:rPr/>
            </w:pPr>
            <w:r>
              <w:rPr>
                <w:b/>
                <w:sz w:val="18"/>
              </w:rPr>
              <w:t>SPOSÓB MONTOWANIA I WYKONANIE:</w:t>
            </w:r>
          </w:p>
        </w:tc>
      </w:tr>
      <w:tr>
        <w:trPr>
          <w:trHeight w:val="201" w:hRule="atLeast"/>
        </w:trPr>
        <w:tc>
          <w:tcPr>
            <w:tcW w:w="10713" w:type="dxa"/>
            <w:tcBorders/>
          </w:tcPr>
          <w:p>
            <w:pPr>
              <w:pStyle w:val="Default"/>
              <w:widowControl w:val="false"/>
              <w:tabs>
                <w:tab w:val="clear" w:pos="708"/>
              </w:tabs>
              <w:rPr/>
            </w:pPr>
            <w:r>
              <w:rPr/>
            </w:r>
          </w:p>
          <w:p>
            <w:pPr>
              <w:pStyle w:val="Default"/>
              <w:widowControl w:val="false"/>
              <w:tabs>
                <w:tab w:val="clear" w:pos="708"/>
              </w:tabs>
              <w:rPr>
                <w:rFonts w:ascii="Arial" w:hAnsi="Arial" w:eastAsia="Calibri" w:cs="Arial"/>
                <w:b w:val="false"/>
                <w:b w:val="false"/>
                <w:bCs w:val="false"/>
                <w:color w:val="000000"/>
                <w:kern w:val="0"/>
                <w:sz w:val="18"/>
                <w:szCs w:val="18"/>
                <w:lang w:val="pl-PL" w:eastAsia="en-US" w:bidi="ar-SA"/>
              </w:rPr>
            </w:pPr>
            <w:r>
              <w:rPr>
                <w:rFonts w:eastAsia="Calibri" w:cs="Arial"/>
                <w:b w:val="false"/>
                <w:bCs w:val="false"/>
                <w:color w:val="000000"/>
                <w:kern w:val="0"/>
                <w:sz w:val="18"/>
                <w:szCs w:val="18"/>
                <w:lang w:val="pl-PL" w:eastAsia="en-US" w:bidi="ar-SA"/>
              </w:rPr>
              <w:t>Instalacja podblatowa.</w:t>
            </w:r>
          </w:p>
          <w:p>
            <w:pPr>
              <w:pStyle w:val="Default"/>
              <w:widowControl w:val="false"/>
              <w:tabs>
                <w:tab w:val="clear" w:pos="708"/>
              </w:tabs>
              <w:rPr>
                <w:sz w:val="18"/>
                <w:szCs w:val="18"/>
              </w:rPr>
            </w:pPr>
            <w:r>
              <w:rPr>
                <w:rFonts w:eastAsia="Calibri" w:cs="Arial"/>
                <w:b w:val="false"/>
                <w:bCs w:val="false"/>
                <w:color w:val="000000"/>
                <w:kern w:val="0"/>
                <w:sz w:val="18"/>
                <w:szCs w:val="18"/>
                <w:lang w:val="pl-PL" w:eastAsia="en-US" w:bidi="ar-SA"/>
              </w:rPr>
              <w:t>Na stanowiskach gdzie odbywa się obsługa indywidualna klienta. Pętle indukcyjne powinny być wyposażone przez Wykonawcę w ramach niniejszego zamówienia, w niezbędne do prawidłowego funkcjonowania  elementy, min. wzmacniacz, okablowanie, zasilacz,uchwyt montażowy, mikrofon powierzchniowy. Dopuszcza się wykonanie części nadawczej w formie przewodu, maty lub panelu – wykonawca powinien dobrać rozwiązanie zależnie od możliwości technicznych na stanowisku.</w:t>
              <w:br/>
              <w:t>Kalibracja do normy PN EN 60118-4. Wyniki kalibracji należy zawrzeć w protokole. Pomiary należy wykonać przy pomocy miernika posiadającego świadectwo wzorcowania.</w:t>
            </w:r>
          </w:p>
          <w:p>
            <w:pPr>
              <w:pStyle w:val="Default"/>
              <w:widowControl w:val="false"/>
              <w:tabs>
                <w:tab w:val="clear" w:pos="708"/>
              </w:tabs>
              <w:rPr>
                <w:b w:val="false"/>
                <w:b w:val="false"/>
                <w:bCs w:val="false"/>
                <w:sz w:val="18"/>
                <w:szCs w:val="18"/>
              </w:rPr>
            </w:pPr>
            <w:r>
              <w:rPr>
                <w:b w:val="false"/>
                <w:bCs w:val="false"/>
                <w:sz w:val="18"/>
                <w:szCs w:val="18"/>
              </w:rPr>
              <w:t>Działanie pętli wewnątrz budynku</w:t>
            </w:r>
          </w:p>
          <w:p>
            <w:pPr>
              <w:pStyle w:val="Default"/>
              <w:widowControl w:val="false"/>
              <w:tabs>
                <w:tab w:val="clear" w:pos="708"/>
              </w:tabs>
              <w:rPr>
                <w:b w:val="false"/>
                <w:b w:val="false"/>
                <w:sz w:val="16"/>
              </w:rPr>
            </w:pPr>
            <w:r>
              <w:rPr>
                <w:b w:val="false"/>
                <w:sz w:val="16"/>
              </w:rPr>
            </w:r>
          </w:p>
        </w:tc>
      </w:tr>
      <w:tr>
        <w:trPr>
          <w:trHeight w:val="659" w:hRule="atLeast"/>
        </w:trPr>
        <w:tc>
          <w:tcPr>
            <w:tcW w:w="10713" w:type="dxa"/>
            <w:tcBorders/>
          </w:tcPr>
          <w:p>
            <w:pPr>
              <w:pStyle w:val="Default"/>
              <w:widowControl w:val="false"/>
              <w:tabs>
                <w:tab w:val="clear" w:pos="708"/>
              </w:tabs>
              <w:rPr>
                <w:sz w:val="16"/>
              </w:rPr>
            </w:pPr>
            <w:r>
              <w:rPr>
                <w:sz w:val="16"/>
              </w:rPr>
            </w:r>
          </w:p>
          <w:tbl>
            <w:tblPr>
              <w:tblW w:w="10775" w:type="dxa"/>
              <w:jc w:val="left"/>
              <w:tblInd w:w="0" w:type="dxa"/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10775"/>
            </w:tblGrid>
            <w:tr>
              <w:trPr>
                <w:trHeight w:val="84" w:hRule="atLeast"/>
              </w:trPr>
              <w:tc>
                <w:tcPr>
                  <w:tcW w:w="10775" w:type="dxa"/>
                  <w:tcBorders/>
                </w:tcPr>
                <w:p>
                  <w:pPr>
                    <w:pStyle w:val="Default"/>
                    <w:widowControl w:val="false"/>
                    <w:tabs>
                      <w:tab w:val="clear" w:pos="708"/>
                    </w:tabs>
                    <w:rPr/>
                  </w:pPr>
                  <w:r>
                    <w:rPr>
                      <w:b/>
                      <w:sz w:val="18"/>
                    </w:rPr>
                    <w:t>WYPOSAŻENIE STANDARDOWE:</w:t>
                  </w:r>
                </w:p>
              </w:tc>
            </w:tr>
            <w:tr>
              <w:trPr>
                <w:trHeight w:val="200" w:hRule="atLeast"/>
              </w:trPr>
              <w:tc>
                <w:tcPr>
                  <w:tcW w:w="10775" w:type="dxa"/>
                  <w:tcBorders/>
                </w:tcPr>
                <w:p>
                  <w:pPr>
                    <w:pStyle w:val="Default"/>
                    <w:widowControl w:val="false"/>
                    <w:tabs>
                      <w:tab w:val="clear" w:pos="708"/>
                    </w:tabs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br/>
                  </w:r>
                  <w:r>
                    <w:rPr>
                      <w:rFonts w:eastAsia="Calibri" w:cs="Arial"/>
                      <w:color w:val="000000"/>
                      <w:kern w:val="0"/>
                      <w:sz w:val="18"/>
                      <w:szCs w:val="18"/>
                      <w:lang w:val="pl-PL" w:eastAsia="en-US" w:bidi="ar-SA"/>
                    </w:rPr>
                    <w:t>Wejście na zewnętrzny mikrofon – jack 3,5 mm</w:t>
                  </w:r>
                </w:p>
                <w:p>
                  <w:pPr>
                    <w:pStyle w:val="Default"/>
                    <w:widowControl w:val="false"/>
                    <w:tabs>
                      <w:tab w:val="clear" w:pos="708"/>
                    </w:tabs>
                    <w:rPr>
                      <w:sz w:val="18"/>
                      <w:szCs w:val="18"/>
                    </w:rPr>
                  </w:pPr>
                  <w:r>
                    <w:rPr>
                      <w:rFonts w:eastAsia="Calibri" w:cs="Arial"/>
                      <w:color w:val="000000"/>
                      <w:kern w:val="0"/>
                      <w:sz w:val="18"/>
                      <w:szCs w:val="18"/>
                      <w:lang w:val="pl-PL" w:eastAsia="en-US" w:bidi="ar-SA"/>
                    </w:rPr>
                    <w:t>Regulowana moc sygnału wejściowego oraz prądu wyjściowego</w:t>
                  </w:r>
                </w:p>
                <w:p>
                  <w:pPr>
                    <w:pStyle w:val="Default"/>
                    <w:widowControl w:val="false"/>
                    <w:tabs>
                      <w:tab w:val="clear" w:pos="708"/>
                    </w:tabs>
                    <w:rPr>
                      <w:sz w:val="18"/>
                      <w:szCs w:val="18"/>
                    </w:rPr>
                  </w:pPr>
                  <w:r>
                    <w:rPr>
                      <w:rFonts w:eastAsia="Calibri" w:cs="Arial"/>
                      <w:color w:val="000000"/>
                      <w:kern w:val="0"/>
                      <w:sz w:val="18"/>
                      <w:szCs w:val="18"/>
                      <w:lang w:val="pl-PL" w:eastAsia="en-US" w:bidi="ar-SA"/>
                    </w:rPr>
                    <w:t>Minimalny prąd pętli 2A RMS</w:t>
                  </w:r>
                </w:p>
                <w:p>
                  <w:pPr>
                    <w:pStyle w:val="Default"/>
                    <w:widowControl w:val="false"/>
                    <w:tabs>
                      <w:tab w:val="clear" w:pos="708"/>
                    </w:tabs>
                    <w:rPr>
                      <w:sz w:val="18"/>
                      <w:szCs w:val="18"/>
                    </w:rPr>
                  </w:pPr>
                  <w:r>
                    <w:rPr>
                      <w:rFonts w:eastAsia="Calibri" w:cs="Arial"/>
                      <w:color w:val="000000"/>
                      <w:kern w:val="0"/>
                      <w:sz w:val="18"/>
                      <w:szCs w:val="18"/>
                      <w:lang w:val="pl-PL" w:eastAsia="en-US" w:bidi="ar-SA"/>
                    </w:rPr>
                    <w:t>Minimalne napięcie wyjściowe 6,5VRMS</w:t>
                  </w:r>
                </w:p>
                <w:p>
                  <w:pPr>
                    <w:pStyle w:val="Default"/>
                    <w:widowControl w:val="false"/>
                    <w:tabs>
                      <w:tab w:val="clear" w:pos="708"/>
                    </w:tabs>
                    <w:rPr>
                      <w:sz w:val="18"/>
                      <w:szCs w:val="18"/>
                    </w:rPr>
                  </w:pPr>
                  <w:r>
                    <w:rPr>
                      <w:rFonts w:eastAsia="Calibri" w:cs="Arial"/>
                      <w:color w:val="000000"/>
                      <w:kern w:val="0"/>
                      <w:sz w:val="18"/>
                      <w:szCs w:val="18"/>
                      <w:lang w:val="pl-PL" w:eastAsia="en-US" w:bidi="ar-SA"/>
                    </w:rPr>
                    <w:t>Wzmacniacz klasy D</w:t>
                  </w:r>
                </w:p>
                <w:p>
                  <w:pPr>
                    <w:pStyle w:val="Default"/>
                    <w:widowControl w:val="false"/>
                    <w:tabs>
                      <w:tab w:val="clear" w:pos="708"/>
                    </w:tabs>
                    <w:rPr>
                      <w:sz w:val="16"/>
                    </w:rPr>
                  </w:pPr>
                  <w:r>
                    <w:rPr>
                      <w:sz w:val="16"/>
                    </w:rPr>
                  </w:r>
                </w:p>
              </w:tc>
            </w:tr>
            <w:tr>
              <w:trPr>
                <w:trHeight w:val="84" w:hRule="atLeast"/>
              </w:trPr>
              <w:tc>
                <w:tcPr>
                  <w:tcW w:w="10775" w:type="dxa"/>
                  <w:tcBorders/>
                </w:tcPr>
                <w:p>
                  <w:pPr>
                    <w:pStyle w:val="Default"/>
                    <w:widowControl w:val="false"/>
                    <w:tabs>
                      <w:tab w:val="clear" w:pos="708"/>
                    </w:tabs>
                    <w:rPr>
                      <w:b/>
                      <w:b/>
                      <w:sz w:val="18"/>
                    </w:rPr>
                  </w:pPr>
                  <w:r>
                    <w:rPr>
                      <w:b/>
                      <w:sz w:val="18"/>
                    </w:rPr>
                  </w:r>
                </w:p>
              </w:tc>
            </w:tr>
            <w:tr>
              <w:trPr>
                <w:trHeight w:val="322" w:hRule="atLeast"/>
              </w:trPr>
              <w:tc>
                <w:tcPr>
                  <w:tcW w:w="10775" w:type="dxa"/>
                  <w:tcBorders/>
                </w:tcPr>
                <w:p>
                  <w:pPr>
                    <w:pStyle w:val="Default"/>
                    <w:widowControl w:val="false"/>
                    <w:tabs>
                      <w:tab w:val="clear" w:pos="708"/>
                    </w:tabs>
                    <w:rPr>
                      <w:sz w:val="16"/>
                    </w:rPr>
                  </w:pPr>
                  <w:r>
                    <w:rPr>
                      <w:sz w:val="16"/>
                    </w:rPr>
                  </w:r>
                </w:p>
              </w:tc>
            </w:tr>
            <w:tr>
              <w:trPr>
                <w:trHeight w:val="84" w:hRule="atLeast"/>
              </w:trPr>
              <w:tc>
                <w:tcPr>
                  <w:tcW w:w="10775" w:type="dxa"/>
                  <w:tcBorders/>
                </w:tcPr>
                <w:p>
                  <w:pPr>
                    <w:pStyle w:val="Default"/>
                    <w:widowControl w:val="false"/>
                    <w:tabs>
                      <w:tab w:val="clear" w:pos="708"/>
                    </w:tabs>
                    <w:rPr/>
                  </w:pPr>
                  <w:r>
                    <w:rPr>
                      <w:b/>
                      <w:sz w:val="18"/>
                    </w:rPr>
                    <w:t>INFORMACJE DODATKOWE:</w:t>
                  </w:r>
                </w:p>
              </w:tc>
            </w:tr>
            <w:tr>
              <w:trPr>
                <w:trHeight w:val="171" w:hRule="atLeast"/>
              </w:trPr>
              <w:tc>
                <w:tcPr>
                  <w:tcW w:w="10775" w:type="dxa"/>
                  <w:tcBorders/>
                </w:tcPr>
                <w:p>
                  <w:pPr>
                    <w:pStyle w:val="Default"/>
                    <w:widowControl w:val="false"/>
                    <w:tabs>
                      <w:tab w:val="clear" w:pos="708"/>
                    </w:tabs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 xml:space="preserve">Oferta WINNA DOTYCZYĆ montażu </w:t>
                  </w:r>
                  <w:r>
                    <w:rPr>
                      <w:b/>
                      <w:bCs/>
                      <w:sz w:val="18"/>
                      <w:szCs w:val="18"/>
                    </w:rPr>
                    <w:t>6</w:t>
                  </w:r>
                  <w:r>
                    <w:rPr>
                      <w:sz w:val="18"/>
                      <w:szCs w:val="18"/>
                    </w:rPr>
                    <w:t xml:space="preserve"> szt pętli indukcyjnych dla osób niedosłyszących w pomieszczeniach Urzędu Miejskiego w Bielawie, na parterze, w budynkach przy pl. Wolności 1 oraz Piastowskiej 1, ich kalibracji. </w:t>
                  </w:r>
                  <w:r>
                    <w:rPr>
                      <w:rFonts w:eastAsia="Calibri" w:cs="Arial"/>
                      <w:color w:val="000000"/>
                      <w:kern w:val="0"/>
                      <w:sz w:val="18"/>
                      <w:szCs w:val="18"/>
                      <w:lang w:val="pl-PL" w:eastAsia="en-US" w:bidi="ar-SA"/>
                    </w:rPr>
                    <w:t>P</w:t>
                  </w:r>
                  <w:r>
                    <w:rPr>
                      <w:sz w:val="18"/>
                      <w:szCs w:val="18"/>
                    </w:rPr>
                    <w:t>ętle winy posiadać zasięg w promieniu min. 1m., mieć niewielki rozmiar, działać przez szkło, meble, lady recepcyjne. Wykonawca powinien ponadto na własny koszt oznaczyć  pomieszczenia międzynarodowym symbolem pętli, wykonać instruktaż pracowników Zamawiającego.</w:t>
                  </w:r>
                </w:p>
                <w:p>
                  <w:pPr>
                    <w:pStyle w:val="Default"/>
                    <w:widowControl w:val="false"/>
                    <w:tabs>
                      <w:tab w:val="clear" w:pos="708"/>
                    </w:tabs>
                    <w:rPr>
                      <w:sz w:val="18"/>
                      <w:szCs w:val="18"/>
                    </w:rPr>
                  </w:pPr>
                  <w:r>
                    <w:rPr>
                      <w:b w:val="false"/>
                      <w:bCs w:val="false"/>
                      <w:sz w:val="18"/>
                      <w:szCs w:val="18"/>
                    </w:rPr>
                    <w:t>Urządzenie powinno być objęte  24 miesięczną gwarancją</w:t>
                  </w:r>
                </w:p>
                <w:p>
                  <w:pPr>
                    <w:pStyle w:val="Default"/>
                    <w:widowControl w:val="false"/>
                    <w:tabs>
                      <w:tab w:val="clear" w:pos="708"/>
                    </w:tabs>
                    <w:rPr>
                      <w:b w:val="false"/>
                      <w:b w:val="false"/>
                      <w:sz w:val="16"/>
                    </w:rPr>
                  </w:pPr>
                  <w:r>
                    <w:rPr>
                      <w:b w:val="false"/>
                      <w:sz w:val="16"/>
                    </w:rPr>
                  </w:r>
                </w:p>
              </w:tc>
            </w:tr>
          </w:tbl>
          <w:p>
            <w:pPr>
              <w:pStyle w:val="Default"/>
              <w:widowControl w:val="false"/>
              <w:rPr>
                <w:b w:val="false"/>
                <w:b w:val="false"/>
                <w:sz w:val="16"/>
              </w:rPr>
            </w:pPr>
            <w:r>
              <w:rPr>
                <w:b w:val="false"/>
                <w:sz w:val="16"/>
              </w:rPr>
            </w:r>
          </w:p>
          <w:p>
            <w:pPr>
              <w:pStyle w:val="Normal"/>
              <w:widowControl w:val="false"/>
              <w:tabs>
                <w:tab w:val="clear" w:pos="708"/>
              </w:tabs>
              <w:spacing w:before="0" w:after="40"/>
              <w:rPr>
                <w:sz w:val="16"/>
              </w:rPr>
            </w:pPr>
            <w:r>
              <w:rPr>
                <w:sz w:val="16"/>
              </w:rPr>
            </w:r>
          </w:p>
        </w:tc>
      </w:tr>
    </w:tbl>
    <w:p>
      <w:pPr>
        <w:pStyle w:val="Default"/>
        <w:widowControl w:val="false"/>
        <w:rPr>
          <w:sz w:val="16"/>
        </w:rPr>
      </w:pPr>
      <w:r>
        <w:rPr>
          <w:sz w:val="16"/>
        </w:rPr>
      </w:r>
    </w:p>
    <w:p>
      <w:pPr>
        <w:pStyle w:val="Normal"/>
        <w:widowControl/>
        <w:bidi w:val="0"/>
        <w:spacing w:lineRule="auto" w:line="259" w:before="0" w:after="40"/>
        <w:jc w:val="left"/>
        <w:rPr/>
      </w:pPr>
      <w:r>
        <w:rPr/>
      </w:r>
    </w:p>
    <w:p>
      <w:pPr>
        <w:pStyle w:val="Normal"/>
        <w:widowControl/>
        <w:bidi w:val="0"/>
        <w:spacing w:lineRule="auto" w:line="259" w:before="0" w:after="40"/>
        <w:jc w:val="left"/>
        <w:rPr/>
      </w:pPr>
      <w:r>
        <w:rPr/>
      </w:r>
    </w:p>
    <w:p>
      <w:pPr>
        <w:pStyle w:val="Normal"/>
        <w:widowControl/>
        <w:bidi w:val="0"/>
        <w:spacing w:lineRule="auto" w:line="259" w:before="0" w:after="40"/>
        <w:jc w:val="center"/>
        <w:rPr/>
      </w:pPr>
      <w:r>
        <w:rPr/>
        <w:t xml:space="preserve">  </w:t>
      </w:r>
    </w:p>
    <w:sectPr>
      <w:type w:val="nextPage"/>
      <w:pgSz w:w="11906" w:h="16838"/>
      <w:pgMar w:left="907" w:right="851" w:gutter="0" w:header="0" w:top="851" w:footer="0" w:bottom="851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Arial">
    <w:charset w:val="ee"/>
    <w:family w:val="roman"/>
    <w:pitch w:val="variable"/>
  </w:font>
  <w:font w:name="Liberation Sans">
    <w:altName w:val="Arial"/>
    <w:charset w:val="ee"/>
    <w:family w:val="roman"/>
    <w:pitch w:val="variable"/>
  </w:font>
  <w:font w:name="Calibri Light">
    <w:charset w:val="ee"/>
    <w:family w:val="roman"/>
    <w:pitch w:val="variable"/>
  </w:font>
  <w:font w:name="Calibri">
    <w:charset w:val="ee"/>
    <w:family w:val="roman"/>
    <w:pitch w:val="variable"/>
  </w:font>
</w:fonts>
</file>

<file path=word/settings.xml><?xml version="1.0" encoding="utf-8"?>
<w:settings xmlns:w="http://schemas.openxmlformats.org/wordprocessingml/2006/main">
  <w:zoom w:percent="140"/>
  <w:defaultTabStop w:val="708"/>
  <w:autoHyphenation w:val="tru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Arial" w:hAnsi="Arial" w:eastAsia="Calibri" w:cs="Arial" w:eastAsiaTheme="minorHAnsi"/>
        <w:sz w:val="24"/>
        <w:szCs w:val="24"/>
        <w:lang w:val="pl-PL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6e3f7c"/>
    <w:pPr>
      <w:widowControl/>
      <w:suppressAutoHyphens w:val="true"/>
      <w:bidi w:val="0"/>
      <w:spacing w:lineRule="auto" w:line="259" w:before="0" w:after="40"/>
      <w:jc w:val="left"/>
    </w:pPr>
    <w:rPr>
      <w:rFonts w:ascii="Arial" w:hAnsi="Arial" w:eastAsia="Calibri" w:cs="Arial" w:eastAsiaTheme="minorHAnsi"/>
      <w:color w:val="auto"/>
      <w:kern w:val="0"/>
      <w:sz w:val="24"/>
      <w:szCs w:val="24"/>
      <w:lang w:val="pl-PL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Znakinumeracji">
    <w:name w:val="Znaki numeracji"/>
    <w:qFormat/>
    <w:rPr/>
  </w:style>
  <w:style w:type="paragraph" w:styleId="Nagwek">
    <w:name w:val="Nagłówek"/>
    <w:basedOn w:val="Normal"/>
    <w:next w:val="Tretekstu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Tretekstu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Tretekstu"/>
    <w:pPr/>
    <w:rPr>
      <w:rFonts w:cs="Arial"/>
    </w:rPr>
  </w:style>
  <w:style w:type="paragraph" w:styleId="Podpis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Arial"/>
      <w:lang w:val="zxx" w:eastAsia="zxx" w:bidi="zxx"/>
    </w:rPr>
  </w:style>
  <w:style w:type="paragraph" w:styleId="Default">
    <w:name w:val="Default"/>
    <w:qFormat/>
    <w:pPr>
      <w:widowControl/>
      <w:suppressAutoHyphens w:val="true"/>
      <w:bidi w:val="0"/>
      <w:spacing w:before="0" w:after="0"/>
      <w:jc w:val="left"/>
    </w:pPr>
    <w:rPr>
      <w:rFonts w:ascii="Arial" w:hAnsi="Arial" w:eastAsia="Calibri" w:cs="Arial"/>
      <w:color w:val="000000"/>
      <w:kern w:val="0"/>
      <w:sz w:val="24"/>
      <w:szCs w:val="24"/>
      <w:lang w:val="pl-PL" w:eastAsia="en-US" w:bidi="ar-SA"/>
    </w:rPr>
  </w:style>
  <w:style w:type="paragraph" w:styleId="Zawartotabeli">
    <w:name w:val="Zawartość tabeli"/>
    <w:basedOn w:val="Normal"/>
    <w:qFormat/>
    <w:pPr>
      <w:widowControl w:val="false"/>
      <w:suppressLineNumbers/>
    </w:pPr>
    <w:rPr/>
  </w:style>
  <w:style w:type="paragraph" w:styleId="Nagwektabeli">
    <w:name w:val="Nagłówek tabeli"/>
    <w:basedOn w:val="Zawartotabeli"/>
    <w:qFormat/>
    <w:pPr>
      <w:suppressLineNumbers/>
      <w:jc w:val="center"/>
    </w:pPr>
    <w:rPr>
      <w:b/>
      <w:bCs/>
    </w:rPr>
  </w:style>
  <w:style w:type="numbering" w:styleId="NoList" w:default="1">
    <w:name w:val="No List"/>
    <w:uiPriority w:val="99"/>
    <w:semiHidden/>
    <w:unhideWhenUsed/>
    <w:qFormat/>
  </w:style>
  <w:style w:type="table" w:default="1" w:styleId="Standardowy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624</TotalTime>
  <Application>LibreOffice/7.2.0.4$Windows_X86_64 LibreOffice_project/9a9c6381e3f7a62afc1329bd359cc48accb6435b</Application>
  <AppVersion>15.0000</AppVersion>
  <Pages>1</Pages>
  <Words>262</Words>
  <Characters>1832</Characters>
  <CharactersWithSpaces>2088</CharactersWithSpaces>
  <Paragraphs>23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2022-09-22T10:13:00Z</dcterms:created>
  <dc:creator>Jacek Lifts</dc:creator>
  <dc:description/>
  <dc:language>pl-PL</dc:language>
  <cp:lastModifiedBy/>
  <cp:lastPrinted>2023-01-03T14:25:26Z</cp:lastPrinted>
  <dcterms:modified xsi:type="dcterms:W3CDTF">2023-02-27T10:27:12Z</dcterms:modified>
  <cp:revision>42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