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/>
      </w:pPr>
      <w:r>
        <w:rPr/>
        <w:t>Zał. nr 3</w:t>
      </w:r>
    </w:p>
    <w:tbl>
      <w:tblPr>
        <w:tblW w:w="104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726"/>
        <w:gridCol w:w="5609"/>
        <w:gridCol w:w="145"/>
      </w:tblGrid>
      <w:tr>
        <w:trPr>
          <w:trHeight w:val="930" w:hRule="atLeast"/>
        </w:trPr>
        <w:tc>
          <w:tcPr>
            <w:tcW w:w="10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Fontanna pływająca w 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pl-PL"/>
              </w:rPr>
              <w:t>Parku Miejskim w Bielawie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, automatycznie zmieniająca obrazy wodne w określonym przedziale czasu ze zmienną zaprogramowaną zmianą wielkości obrazów wodnych. 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Uwaga: gwarancja na całość urządzenia 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minimum 60 m-cy</w:t>
            </w:r>
          </w:p>
        </w:tc>
        <w:tc>
          <w:tcPr>
            <w:tcW w:w="145" w:type="dxa"/>
            <w:tcBorders/>
          </w:tcPr>
          <w:p>
            <w:pPr>
              <w:pStyle w:val="Normal"/>
              <w:widowControl w:val="false"/>
              <w:spacing w:before="0" w:after="40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10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44"/>
                <w:szCs w:val="44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44"/>
                <w:szCs w:val="44"/>
                <w:lang w:eastAsia="pl-PL"/>
              </w:rPr>
              <w:t>Parametry fontanny pływającej:</w:t>
            </w:r>
          </w:p>
        </w:tc>
        <w:tc>
          <w:tcPr>
            <w:tcW w:w="145" w:type="dxa"/>
            <w:tcBorders/>
          </w:tcPr>
          <w:p>
            <w:pPr>
              <w:pStyle w:val="Normal"/>
              <w:widowControl w:val="false"/>
              <w:spacing w:before="0" w:after="40"/>
              <w:rPr/>
            </w:pPr>
            <w:r>
              <w:rPr/>
            </w:r>
          </w:p>
        </w:tc>
      </w:tr>
      <w:tr>
        <w:trPr>
          <w:trHeight w:val="319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Zasilanie 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3 fazowe 400 V</w:t>
            </w:r>
          </w:p>
        </w:tc>
        <w:tc>
          <w:tcPr>
            <w:tcW w:w="145" w:type="dxa"/>
            <w:tcBorders/>
          </w:tcPr>
          <w:p>
            <w:pPr>
              <w:pStyle w:val="Normal"/>
              <w:widowControl w:val="false"/>
              <w:spacing w:before="0" w:after="40"/>
              <w:rPr/>
            </w:pPr>
            <w:r>
              <w:rPr/>
            </w:r>
          </w:p>
        </w:tc>
      </w:tr>
      <w:tr>
        <w:trPr>
          <w:trHeight w:val="319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Moc pompy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min 7 kW</w:t>
            </w:r>
          </w:p>
        </w:tc>
        <w:tc>
          <w:tcPr>
            <w:tcW w:w="145" w:type="dxa"/>
            <w:tcBorders/>
          </w:tcPr>
          <w:p>
            <w:pPr>
              <w:pStyle w:val="Normal"/>
              <w:widowControl w:val="false"/>
              <w:spacing w:before="0" w:after="40"/>
              <w:rPr/>
            </w:pPr>
            <w:r>
              <w:rPr/>
            </w:r>
          </w:p>
        </w:tc>
      </w:tr>
      <w:tr>
        <w:trPr>
          <w:trHeight w:val="319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Sterowanie pompą 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cykliczne zaprogramowane modulowanie wydajnością</w:t>
            </w:r>
          </w:p>
        </w:tc>
        <w:tc>
          <w:tcPr>
            <w:tcW w:w="145" w:type="dxa"/>
            <w:tcBorders/>
          </w:tcPr>
          <w:p>
            <w:pPr>
              <w:pStyle w:val="Normal"/>
              <w:widowControl w:val="false"/>
              <w:spacing w:before="0" w:after="40"/>
              <w:rPr/>
            </w:pPr>
            <w:r>
              <w:rPr/>
            </w:r>
          </w:p>
        </w:tc>
      </w:tr>
      <w:tr>
        <w:trPr>
          <w:trHeight w:val="319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Zużycie energii na 1 h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około 3,5 kWh/h (przy działającym oświetleniu)</w:t>
            </w:r>
          </w:p>
        </w:tc>
        <w:tc>
          <w:tcPr>
            <w:tcW w:w="145" w:type="dxa"/>
            <w:tcBorders/>
          </w:tcPr>
          <w:p>
            <w:pPr>
              <w:pStyle w:val="Normal"/>
              <w:widowControl w:val="false"/>
              <w:spacing w:before="0" w:after="40"/>
              <w:rPr/>
            </w:pPr>
            <w:r>
              <w:rPr/>
            </w:r>
          </w:p>
        </w:tc>
      </w:tr>
      <w:tr>
        <w:trPr>
          <w:trHeight w:val="319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Moc oświetlenia LED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min 250 W</w:t>
            </w:r>
          </w:p>
        </w:tc>
        <w:tc>
          <w:tcPr>
            <w:tcW w:w="145" w:type="dxa"/>
            <w:tcBorders/>
          </w:tcPr>
          <w:p>
            <w:pPr>
              <w:pStyle w:val="Normal"/>
              <w:widowControl w:val="false"/>
              <w:spacing w:before="0" w:after="40"/>
              <w:rPr/>
            </w:pPr>
            <w:r>
              <w:rPr/>
            </w:r>
          </w:p>
        </w:tc>
      </w:tr>
      <w:tr>
        <w:trPr>
          <w:trHeight w:val="319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Oświetlenie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min sześć reflektorów IP68 RGB 16 mln kolorów</w:t>
            </w:r>
          </w:p>
        </w:tc>
        <w:tc>
          <w:tcPr>
            <w:tcW w:w="145" w:type="dxa"/>
            <w:tcBorders/>
          </w:tcPr>
          <w:p>
            <w:pPr>
              <w:pStyle w:val="Normal"/>
              <w:widowControl w:val="false"/>
              <w:spacing w:before="0" w:after="40"/>
              <w:rPr/>
            </w:pPr>
            <w:r>
              <w:rPr/>
            </w:r>
          </w:p>
        </w:tc>
      </w:tr>
      <w:tr>
        <w:trPr>
          <w:trHeight w:val="559" w:hRule="atLeast"/>
        </w:trPr>
        <w:tc>
          <w:tcPr>
            <w:tcW w:w="47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Efekt podświetlenia</w:t>
            </w:r>
          </w:p>
        </w:tc>
        <w:tc>
          <w:tcPr>
            <w:tcW w:w="56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powolne przechodzenie kolorów przez pełną paletę barw (czas  pełnego przejścia  od 60 s do 120 s)</w:t>
            </w:r>
          </w:p>
        </w:tc>
        <w:tc>
          <w:tcPr>
            <w:tcW w:w="145" w:type="dxa"/>
            <w:tcBorders/>
          </w:tcPr>
          <w:p>
            <w:pPr>
              <w:pStyle w:val="Normal"/>
              <w:widowControl w:val="false"/>
              <w:spacing w:before="0" w:after="40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47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60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559" w:hRule="atLeast"/>
        </w:trPr>
        <w:tc>
          <w:tcPr>
            <w:tcW w:w="47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Dysze zamontowane na pojedynczym agregacie fontannowym automatycznie zmieniające obrazy wodne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HP Simplified" w:hAnsi="HP Simplified"/>
                <w:b/>
                <w:bCs/>
                <w:color w:val="000000"/>
                <w:sz w:val="20"/>
                <w:szCs w:val="20"/>
                <w:lang w:eastAsia="pl-PL"/>
              </w:rPr>
              <w:t xml:space="preserve">Dysza kumulacyjna - </w:t>
            </w: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wysokość min 18 m</w:t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559" w:hRule="atLeast"/>
        </w:trPr>
        <w:tc>
          <w:tcPr>
            <w:tcW w:w="47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HP Simplified" w:hAnsi="HP Simplified"/>
                <w:b/>
                <w:bCs/>
                <w:color w:val="000000"/>
                <w:sz w:val="20"/>
                <w:szCs w:val="20"/>
                <w:lang w:eastAsia="pl-PL"/>
              </w:rPr>
              <w:t>Dysza kielich -</w:t>
            </w: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 wysokość min  3 m, szerokość min 10 m</w:t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799" w:hRule="atLeast"/>
        </w:trPr>
        <w:tc>
          <w:tcPr>
            <w:tcW w:w="47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HP Simplified" w:hAnsi="HP Simplified"/>
                <w:b/>
                <w:bCs/>
                <w:color w:val="000000"/>
                <w:sz w:val="20"/>
                <w:szCs w:val="20"/>
                <w:lang w:eastAsia="pl-PL"/>
              </w:rPr>
              <w:t>Dysza osiem łuków wodnych -</w:t>
            </w: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 wysokość min 4 m, szerokość min 20 m pod kątem 60⁰</w:t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319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Ilość obrazów wodnych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min  7 (siedem różnych od siebie kształtów fontanny)</w:t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930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Zmiana obrazów wodnych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w sposób automatyczny co 1 min lub co 30 s - konfiguracja programu sprawiająca wrażenie dla obserwatora losowego tworzenia obrazów wodnych min 30 zamian w cyklu  </w:t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1080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Płynna zmiana w zaprogramowanym cyklu wielkości obrazów wodnych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cykliczna modulacja wydajnością pompy tak aby stworzyć efekt ciągłego nieprzerwanego ruchu wielkością obrazów wodnych </w:t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1080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Okres zmian wielkości obrazów wodnych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pojedynczy cykl min 1 min do max 2min uwzględniając maksymalne zużycie energii elektrycznej na godzinę</w:t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319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Uruchamianie fontanny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programator zegarowy, włączanie/wyłączanie  manualne</w:t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319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Włączanie oświetlenia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programator astronomiczny</w:t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522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Zabezpieczenia 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różnicowo-prądowe, przeciążeniowe, zwarciowe, zaniku faz, asymetrii faz</w:t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319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Szafa sterownicza automatyki i zabezpieczeń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wykonana z tworzywa termoutwardzalnego IP54 z fundamentem</w:t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319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Przewód zasilający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90 m przeznaczony do pracy w wodzie</w:t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319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Mocowanie na zbiorniku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kotwice betonowe zatapialne min 15 kg/szt min 3 szt</w:t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319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Ciężar wraz z przewodem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160 kg do 200 kg (bez kotwic)</w:t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319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Pływak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>okrąg o średnicy od 1 m do 1,3 m odporny na promieniowanie UV</w:t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319" w:hRule="atLeast"/>
        </w:trPr>
        <w:tc>
          <w:tcPr>
            <w:tcW w:w="4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color w:val="000000"/>
                <w:sz w:val="20"/>
                <w:szCs w:val="20"/>
                <w:lang w:eastAsia="pl-PL"/>
              </w:rPr>
              <w:t xml:space="preserve">Metalowe elementy fontanny </w:t>
            </w:r>
          </w:p>
        </w:tc>
        <w:tc>
          <w:tcPr>
            <w:tcW w:w="56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pl-PL"/>
              </w:rPr>
              <w:t>mosiądz miedź stal nierdzewna</w:t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735" w:hRule="atLeast"/>
        </w:trPr>
        <w:tc>
          <w:tcPr>
            <w:tcW w:w="47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 w:ascii="HP Simplified" w:hAnsi="HP Simplified"/>
                <w:b/>
                <w:bCs/>
                <w:color w:val="000000"/>
                <w:lang w:eastAsia="pl-PL"/>
              </w:rPr>
              <w:t>Uwaga: do oferty należy doliczyć</w:t>
            </w:r>
          </w:p>
        </w:tc>
        <w:tc>
          <w:tcPr>
            <w:tcW w:w="560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b w:val="false"/>
                <w:b w:val="false"/>
                <w:bCs w:val="fals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HP Simplified" w:hAnsi="HP Simplified"/>
                <w:b w:val="false"/>
                <w:bCs w:val="false"/>
                <w:color w:val="000000"/>
                <w:sz w:val="20"/>
                <w:szCs w:val="20"/>
                <w:lang w:eastAsia="pl-PL"/>
              </w:rPr>
              <w:t xml:space="preserve">Wykonawca w ramach złożonej oferty w terminie 21 dni od daty podpisania umowy, podłączy i zamontuje fontannę, następnie będzie miał obowiązek w terminie do 15 listopada 2022 roku, zdemontować fontannę, odpowiednio wyczyścić, zabezpieczyć  i przechować przez okres zimowy. Do końca m-ca kwietnia 2023 roku, ponownie zamontować i uruchomić fontannę.     </w:t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705" w:hRule="atLeast"/>
        </w:trPr>
        <w:tc>
          <w:tcPr>
            <w:tcW w:w="47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 w:ascii="HP Simplified" w:hAnsi="HP Simplified"/>
                <w:b/>
                <w:bCs/>
                <w:color w:val="000000"/>
                <w:lang w:eastAsia="pl-PL"/>
              </w:rPr>
            </w:r>
          </w:p>
        </w:tc>
        <w:tc>
          <w:tcPr>
            <w:tcW w:w="560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HP Simplified" w:hAnsi="HP Simplified" w:eastAsia="Times New Roman" w:cs="Calibri"/>
                <w:b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Calibri" w:ascii="HP Simplified" w:hAnsi="HP Simplified"/>
                <w:b/>
                <w:bCs/>
                <w:color w:val="000000"/>
                <w:sz w:val="32"/>
                <w:szCs w:val="32"/>
                <w:lang w:eastAsia="pl-PL"/>
              </w:rPr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40"/>
        <w:jc w:val="left"/>
        <w:rPr/>
      </w:pPr>
      <w:r>
        <w:rPr/>
      </w:r>
    </w:p>
    <w:sectPr>
      <w:type w:val="nextPage"/>
      <w:pgSz w:w="11906" w:h="16838"/>
      <w:pgMar w:left="907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HP Simplified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9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3f7c"/>
    <w:pPr>
      <w:widowControl/>
      <w:suppressAutoHyphens w:val="true"/>
      <w:bidi w:val="0"/>
      <w:spacing w:lineRule="auto" w:line="259" w:before="0" w:after="40"/>
      <w:jc w:val="left"/>
    </w:pPr>
    <w:rPr>
      <w:rFonts w:ascii="Arial" w:hAnsi="Arial" w:eastAsia="Calibri" w:cs="Arial" w:eastAsia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LibreOffice/7.2.0.4$Windows_X86_64 LibreOffice_project/9a9c6381e3f7a62afc1329bd359cc48accb6435b</Application>
  <AppVersion>15.0000</AppVersion>
  <Pages>2</Pages>
  <Words>360</Words>
  <Characters>2143</Characters>
  <CharactersWithSpaces>2489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2022-06-23T08:54:00Z</dcterms:created>
  <dc:creator>Tomasz Grajek</dc:creator>
  <dc:description/>
  <dc:language>pl-PL</dc:language>
  <cp:lastModifiedBy/>
  <dcterms:modified xsi:type="dcterms:W3CDTF">2022-08-01T12:55:16Z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